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pBdr/>
        <w:spacing w:lineRule="auto" w:line="240" w:before="0" w:after="0"/>
        <w:ind w:left="0" w:right="0" w:hanging="0"/>
        <w:jc w:val="center"/>
        <w:rPr/>
      </w:pPr>
      <w:r>
        <w:rPr>
          <w:rStyle w:val="Style13"/>
          <w:rFonts w:ascii="Arial" w:hAnsi="Arial"/>
          <w:color w:val="000000"/>
          <w:sz w:val="24"/>
          <w:szCs w:val="24"/>
        </w:rPr>
        <w:tab/>
      </w:r>
      <w:r>
        <w:rPr>
          <w:rStyle w:val="Style13"/>
          <w:rFonts w:ascii="Arial" w:hAnsi="Arial"/>
          <w:color w:val="000000"/>
          <w:sz w:val="24"/>
          <w:szCs w:val="24"/>
        </w:rPr>
        <w:t>Инструкция по регистрации сетных орудий лова для осуществления любительского рыболовства</w:t>
      </w:r>
    </w:p>
    <w:p>
      <w:pPr>
        <w:pStyle w:val="Style19"/>
        <w:pBdr/>
        <w:spacing w:lineRule="auto" w:line="240" w:before="0" w:after="0"/>
        <w:ind w:left="0" w:right="0" w:hanging="0"/>
        <w:jc w:val="both"/>
        <w:rPr>
          <w:rStyle w:val="Style13"/>
          <w:rFonts w:ascii="Arial" w:hAnsi="Arial"/>
          <w:color w:val="000000"/>
          <w:sz w:val="24"/>
          <w:szCs w:val="24"/>
        </w:rPr>
      </w:pPr>
      <w:r>
        <w:rPr/>
      </w:r>
    </w:p>
    <w:p>
      <w:pPr>
        <w:pStyle w:val="Style19"/>
        <w:pBdr/>
        <w:spacing w:lineRule="auto" w:line="240" w:before="0" w:after="0"/>
        <w:ind w:left="0" w:right="0" w:hanging="0"/>
        <w:jc w:val="both"/>
        <w:rPr/>
      </w:pPr>
      <w:r>
        <w:rPr>
          <w:rStyle w:val="Style13"/>
          <w:rFonts w:ascii="Arial" w:hAnsi="Arial"/>
          <w:b w:val="false"/>
          <w:bCs w:val="false"/>
          <w:color w:val="000000"/>
          <w:sz w:val="24"/>
          <w:szCs w:val="24"/>
        </w:rPr>
        <w:tab/>
        <w:t>С</w:t>
      </w:r>
      <w:r>
        <w:rPr>
          <w:rStyle w:val="Style13"/>
          <w:rFonts w:ascii="Arial" w:hAnsi="Arial"/>
          <w:b w:val="false"/>
          <w:bCs w:val="false"/>
          <w:color w:val="000000"/>
          <w:sz w:val="24"/>
          <w:szCs w:val="24"/>
        </w:rPr>
        <w:t xml:space="preserve"> 01 января 2020 года</w:t>
      </w:r>
      <w:r>
        <w:rPr>
          <w:rFonts w:ascii="Arial" w:hAnsi="Arial"/>
          <w:color w:val="000000"/>
          <w:sz w:val="24"/>
          <w:szCs w:val="24"/>
        </w:rPr>
        <w:t xml:space="preserve"> вступил в силу Федеральный закон от 25 </w:t>
      </w:r>
      <w:r>
        <w:rPr>
          <w:rFonts w:ascii="Arial" w:hAnsi="Arial"/>
          <w:color w:val="000000"/>
          <w:sz w:val="24"/>
          <w:szCs w:val="24"/>
        </w:rPr>
        <w:t xml:space="preserve">декабря </w:t>
      </w:r>
      <w:r>
        <w:rPr>
          <w:rFonts w:ascii="Arial" w:hAnsi="Arial"/>
          <w:color w:val="000000"/>
          <w:sz w:val="24"/>
          <w:szCs w:val="24"/>
        </w:rPr>
        <w:t xml:space="preserve">2018 </w:t>
      </w:r>
      <w:r>
        <w:rPr>
          <w:rFonts w:ascii="Arial" w:hAnsi="Arial"/>
          <w:color w:val="000000"/>
          <w:sz w:val="24"/>
          <w:szCs w:val="24"/>
        </w:rPr>
        <w:t xml:space="preserve">года </w:t>
      </w:r>
      <w:hyperlink r:id="rId2" w:tgtFrame="_blank">
        <w:r>
          <w:rPr>
            <w:rStyle w:val="Style13"/>
            <w:rFonts w:ascii="Arial" w:hAnsi="Arial"/>
            <w:b w:val="false"/>
            <w:bCs w:val="false"/>
            <w:color w:val="000000"/>
            <w:sz w:val="24"/>
            <w:szCs w:val="24"/>
            <w:u w:val="none"/>
          </w:rPr>
          <w:t>№ 475-ФЗ</w:t>
        </w:r>
      </w:hyperlink>
      <w:r>
        <w:rPr>
          <w:rFonts w:ascii="Arial" w:hAnsi="Arial"/>
          <w:color w:val="000000"/>
          <w:sz w:val="24"/>
          <w:szCs w:val="24"/>
        </w:rPr>
        <w:t xml:space="preserve"> «О любительском рыболовстве и о внесении изменений в отдельные законодательные акты Российской Федерации», а также несколько его подзаконных актов, в том числе постановление Правительства Российской Федерации от 21 </w:t>
      </w:r>
      <w:r>
        <w:rPr>
          <w:rFonts w:ascii="Arial" w:hAnsi="Arial"/>
          <w:color w:val="000000"/>
          <w:sz w:val="24"/>
          <w:szCs w:val="24"/>
        </w:rPr>
        <w:t xml:space="preserve">ноября </w:t>
      </w:r>
      <w:r>
        <w:rPr>
          <w:rFonts w:ascii="Arial" w:hAnsi="Arial"/>
          <w:color w:val="000000"/>
          <w:sz w:val="24"/>
          <w:szCs w:val="24"/>
        </w:rPr>
        <w:t xml:space="preserve">2019 </w:t>
      </w:r>
      <w:r>
        <w:rPr>
          <w:rFonts w:ascii="Arial" w:hAnsi="Arial"/>
          <w:color w:val="000000"/>
          <w:sz w:val="24"/>
          <w:szCs w:val="24"/>
        </w:rPr>
        <w:t>года</w:t>
      </w:r>
      <w:r>
        <w:rPr>
          <w:rFonts w:ascii="Arial" w:hAnsi="Arial"/>
          <w:color w:val="000000"/>
          <w:sz w:val="24"/>
          <w:szCs w:val="24"/>
        </w:rPr>
        <w:t xml:space="preserve"> № 1482 «Об утверждении правил учета сетных орудий добычи (вылова) водных биологических ресурсов и ведение реестра сетных орудий добычи (вылова) водных биологический ресурсов и правил обязательной поштучной маркировки сетных орудий добычи (вылова) водных биологических ресурсов» (далее – Правил).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uto" w:line="240"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uto" w:line="240" w:before="0" w:after="0"/>
        <w:ind w:left="0" w:right="0" w:hanging="0"/>
        <w:jc w:val="both"/>
        <w:rPr/>
      </w:pPr>
      <w:r>
        <w:rPr>
          <w:rFonts w:ascii="Arial" w:hAnsi="Arial"/>
          <w:color w:val="000000"/>
          <w:sz w:val="24"/>
          <w:szCs w:val="24"/>
        </w:rPr>
        <w:tab/>
        <w:t xml:space="preserve">В соответствии с требованиями Правил </w:t>
      </w:r>
      <w:r>
        <w:rPr>
          <w:rStyle w:val="Style13"/>
          <w:rFonts w:ascii="Arial" w:hAnsi="Arial"/>
          <w:color w:val="000000"/>
          <w:sz w:val="24"/>
          <w:szCs w:val="24"/>
        </w:rPr>
        <w:t>сетные орудия лова, используемые для любительского рыболовства, подлежат обязательной регистрации и маркировке</w:t>
      </w:r>
      <w:r>
        <w:rPr>
          <w:rFonts w:ascii="Arial" w:hAnsi="Arial"/>
          <w:color w:val="000000"/>
          <w:sz w:val="24"/>
          <w:szCs w:val="24"/>
        </w:rPr>
        <w:t>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uto" w:line="240"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Style19"/>
        <w:pBdr/>
        <w:spacing w:lineRule="auto" w:line="240" w:before="0" w:after="0"/>
        <w:ind w:left="0" w:right="0" w:hanging="0"/>
        <w:jc w:val="center"/>
        <w:rPr/>
      </w:pP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</w:rPr>
        <w:t>Д</w:t>
      </w: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</w:rPr>
        <w:t>ля регистрации сетного орудия лова и получения номера маркировки необходимо: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uto" w:line="240"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/>
      </w:pPr>
      <w:r>
        <w:rPr>
          <w:rFonts w:ascii="Arial" w:hAnsi="Arial"/>
          <w:color w:val="000000"/>
          <w:sz w:val="24"/>
          <w:szCs w:val="24"/>
          <w:lang w:val="ru-RU"/>
        </w:rPr>
        <w:tab/>
        <w:t xml:space="preserve">Подать заявление о внесении сведений в  реестр </w:t>
      </w:r>
      <w:r>
        <w:rPr>
          <w:rFonts w:ascii="Arial" w:hAnsi="Arial"/>
          <w:color w:val="000000"/>
          <w:sz w:val="24"/>
          <w:szCs w:val="24"/>
          <w:lang w:val="ru-RU"/>
        </w:rPr>
        <w:t xml:space="preserve">сетных орудий лова </w:t>
      </w:r>
      <w:r>
        <w:rPr>
          <w:rFonts w:ascii="Arial" w:hAnsi="Arial"/>
          <w:color w:val="000000"/>
          <w:sz w:val="24"/>
          <w:szCs w:val="24"/>
          <w:lang w:val="ru-RU"/>
        </w:rPr>
        <w:t xml:space="preserve">в </w:t>
      </w:r>
      <w:r>
        <w:rPr>
          <w:rFonts w:ascii="Arial" w:hAnsi="Arial"/>
          <w:color w:val="000000"/>
          <w:sz w:val="24"/>
          <w:szCs w:val="24"/>
          <w:lang w:val="ru-RU"/>
        </w:rPr>
        <w:t>О</w:t>
      </w:r>
      <w:r>
        <w:rPr>
          <w:rFonts w:ascii="Arial" w:hAnsi="Arial"/>
          <w:color w:val="000000"/>
          <w:sz w:val="24"/>
          <w:szCs w:val="24"/>
          <w:lang w:val="ru-RU"/>
        </w:rPr>
        <w:t>тдел </w:t>
      </w:r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ar-SA" w:bidi="ar-SA"/>
        </w:rPr>
        <w:t xml:space="preserve">государственного контроля, надзора, охраны водных биологических ресурсов и среды их обитания по Курганской области </w:t>
      </w:r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ar-SA" w:bidi="ar-SA"/>
        </w:rPr>
        <w:t xml:space="preserve">Нижнеобского территориального управления Федерального агентства по рыболовству </w:t>
      </w:r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ar-SA" w:bidi="ar-SA"/>
        </w:rPr>
        <w:t xml:space="preserve">(далее - Отдел госконтроля) </w:t>
      </w:r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ar-SA" w:bidi="ar-SA"/>
        </w:rPr>
        <w:t xml:space="preserve">можно по адресу: 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/>
      </w:pPr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ar-SA" w:bidi="ar-SA"/>
        </w:rPr>
        <w:tab/>
        <w:t>г. Курган, ул. М. Горького, 40.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/>
      </w:pPr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ar-SA" w:bidi="ar-SA"/>
        </w:rPr>
        <w:tab/>
        <w:t xml:space="preserve">Адрес электронной почты для подачи заявлений: </w:t>
      </w:r>
      <w:hyperlink r:id="rId3">
        <w:r>
          <w:rPr>
            <w:rStyle w:val="Style17"/>
            <w:rFonts w:ascii="Arial" w:hAnsi="Arial"/>
            <w:color w:val="000000"/>
          </w:rPr>
          <w:t>goscontrol45@noturfish.ru</w:t>
        </w:r>
      </w:hyperlink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ar-SA" w:bidi="ar-SA"/>
        </w:rPr>
        <w:t>,</w:t>
      </w:r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en-US" w:eastAsia="ar-SA" w:bidi="ar-SA"/>
        </w:rPr>
        <w:t xml:space="preserve"> </w:t>
      </w:r>
      <w:r>
        <w:rPr>
          <w:rStyle w:val="Style17"/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0"/>
          <w:position w:val="0"/>
          <w:sz w:val="24"/>
          <w:sz w:val="24"/>
          <w:szCs w:val="24"/>
          <w:u w:val="none"/>
          <w:vertAlign w:val="baseline"/>
          <w:em w:val="none"/>
          <w:lang w:val="ru-RU" w:eastAsia="ar-SA" w:bidi="ar-SA"/>
        </w:rPr>
        <w:t>по всем возникающим вопросам обращаться по телефону 8(3522) 46-49-59.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/>
      </w:pPr>
      <w:r>
        <w:rPr>
          <w:rFonts w:ascii="Arial" w:hAnsi="Arial"/>
          <w:color w:val="000000"/>
          <w:sz w:val="24"/>
          <w:szCs w:val="24"/>
          <w:lang w:val="ru-RU"/>
        </w:rPr>
        <w:tab/>
      </w:r>
      <w:r>
        <w:rPr>
          <w:rFonts w:ascii="Arial" w:hAnsi="Arial"/>
          <w:i/>
          <w:iCs/>
          <w:color w:val="000000"/>
          <w:sz w:val="24"/>
          <w:szCs w:val="24"/>
          <w:lang w:val="ru-RU"/>
        </w:rPr>
        <w:t>Заявление подается в </w:t>
      </w:r>
      <w:r>
        <w:rPr>
          <w:rFonts w:ascii="Arial" w:hAnsi="Arial"/>
          <w:i/>
          <w:iCs/>
          <w:color w:val="000000"/>
          <w:sz w:val="24"/>
          <w:szCs w:val="24"/>
          <w:lang w:val="ru-RU"/>
        </w:rPr>
        <w:t>Отдел госко</w:t>
      </w:r>
      <w:r>
        <w:rPr>
          <w:rFonts w:ascii="Arial" w:hAnsi="Arial"/>
          <w:i/>
          <w:iCs/>
          <w:color w:val="000000"/>
          <w:sz w:val="24"/>
          <w:szCs w:val="24"/>
          <w:lang w:val="ru-RU"/>
        </w:rPr>
        <w:t>н</w:t>
      </w:r>
      <w:r>
        <w:rPr>
          <w:rFonts w:ascii="Arial" w:hAnsi="Arial"/>
          <w:i/>
          <w:iCs/>
          <w:color w:val="000000"/>
          <w:sz w:val="24"/>
          <w:szCs w:val="24"/>
          <w:lang w:val="ru-RU"/>
        </w:rPr>
        <w:t>троля</w:t>
      </w:r>
      <w:r>
        <w:rPr>
          <w:rFonts w:ascii="Arial" w:hAnsi="Arial"/>
          <w:i/>
          <w:iCs/>
          <w:color w:val="000000"/>
          <w:sz w:val="24"/>
          <w:szCs w:val="24"/>
          <w:lang w:val="ru-RU"/>
        </w:rPr>
        <w:t xml:space="preserve"> лично, либо по почте, либо в электронном виде в котором указать: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а) наименование территориального органа, в который подается заявление о внесении сведений в реестр;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б) фамилия, имя, отчество (при наличии) владельца сетного орудия (для физических лиц и индивидуальных предпринимателей) или полное наименование юридического лица, являющегося владельцем сетного орудия (для юридического лица);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б) дата и место рождения владельца сетного орудия (для физических лиц);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г) адрес места жительства (места пребывания) владельца сетного орудия (для физических лиц);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д) адрес места нахождения юридического лица или индивидуального предпринимателя;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е) индивидуальный номер налогоплательщика владельца сетного орудия (для физических лиц, при наличии);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ж) обязательный государственный регистрационный номер (для юридических лиц);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з) основной государственный регистрационный номер записи о государственной регистрации индивидуального предпринимателя (для индивидуальных предпринимателей);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и) номер контактного телефона и (или) адрес электронной почты (если имеются) владельца сетного орудия;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к) данные документа, удостоверяющего личность владельца сетного орудия (для физических лиц);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/>
      </w:pPr>
      <w:r>
        <w:rPr>
          <w:rFonts w:ascii="Arial" w:hAnsi="Arial"/>
          <w:color w:val="000000"/>
          <w:sz w:val="24"/>
          <w:szCs w:val="24"/>
          <w:lang w:val="ru-RU"/>
        </w:rPr>
        <w:tab/>
        <w:t>л) наименование сетного орудия, сведения о котором подлежат внесению в реестр, с ук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азанием: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Style19"/>
        <w:numPr>
          <w:ilvl w:val="0"/>
          <w:numId w:val="2"/>
        </w:numPr>
        <w:pBdr/>
        <w:tabs>
          <w:tab w:val="clear" w:pos="720"/>
          <w:tab w:val="left" w:pos="0" w:leader="none"/>
        </w:tabs>
        <w:spacing w:lineRule="atLeast" w:line="255" w:before="0" w:after="0"/>
        <w:ind w:left="707" w:right="0" w:hanging="283"/>
        <w:jc w:val="both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Для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ставных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 сетей - длин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а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и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 размер (шага) ячеи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(</w:t>
      </w:r>
      <w:r>
        <w:rPr>
          <w:rFonts w:ascii="Arial" w:hAnsi="Arial"/>
          <w:b w:val="false"/>
          <w:bCs w:val="false"/>
          <w:color w:val="000000"/>
          <w:kern w:val="2"/>
          <w:sz w:val="24"/>
          <w:szCs w:val="24"/>
          <w:lang w:val="ru-RU"/>
        </w:rPr>
        <w:t>не более 30 м, с размером (шагом) ячеи не менее 36 мм</w:t>
      </w:r>
      <w:r>
        <w:rPr>
          <w:rFonts w:ascii="Arial" w:hAnsi="Arial"/>
          <w:b w:val="false"/>
          <w:bCs w:val="false"/>
          <w:color w:val="000000"/>
          <w:kern w:val="2"/>
          <w:sz w:val="24"/>
          <w:szCs w:val="24"/>
          <w:lang w:val="ru-RU"/>
        </w:rPr>
        <w:t>)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;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Style19"/>
        <w:numPr>
          <w:ilvl w:val="0"/>
          <w:numId w:val="2"/>
        </w:numPr>
        <w:pBdr/>
        <w:tabs>
          <w:tab w:val="clear" w:pos="720"/>
          <w:tab w:val="left" w:pos="0" w:leader="none"/>
        </w:tabs>
        <w:spacing w:lineRule="auto" w:line="240" w:before="0" w:after="0"/>
        <w:ind w:left="707" w:right="0" w:hanging="283"/>
        <w:jc w:val="both"/>
        <w:rPr/>
      </w:pP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Для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фитилей - длина крыла и  размер (шага) ячеи (</w:t>
      </w:r>
      <w:r>
        <w:rPr>
          <w:rFonts w:ascii="Arial" w:hAnsi="Arial"/>
          <w:b w:val="false"/>
          <w:bCs w:val="false"/>
          <w:color w:val="000000"/>
          <w:kern w:val="2"/>
          <w:sz w:val="24"/>
          <w:szCs w:val="24"/>
          <w:lang w:val="ru-RU"/>
        </w:rPr>
        <w:t>длина крыла не более 2 м,  размер (шаг) ячеи не менее 40 мм).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  <w:lang w:val="ru-RU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 xml:space="preserve">м) водные объекты, на которых владелец сетного орудия планирует осуществлять любительское рыболовство с применением сетных орудий (с указанием субъекта Российской Федерации, муниципальных образований (районов) субъектов Российской Федерации и местоположения относительно населенного пункта, на территориях которых расположены или к территориям которых примыкают такие водные объекты), </w:t>
      </w:r>
      <w:r>
        <w:rPr>
          <w:rFonts w:ascii="Arial" w:hAnsi="Arial"/>
          <w:i/>
          <w:iCs/>
          <w:color w:val="000000"/>
          <w:sz w:val="24"/>
          <w:szCs w:val="24"/>
          <w:lang w:val="ru-RU"/>
        </w:rPr>
        <w:t xml:space="preserve">за исключением рыболовных и рыбоводных участков Курганской области </w:t>
      </w:r>
      <w:r>
        <w:rPr>
          <w:rFonts w:ascii="Arial" w:hAnsi="Arial"/>
          <w:i/>
          <w:iCs/>
          <w:color w:val="000000"/>
          <w:sz w:val="24"/>
          <w:szCs w:val="24"/>
          <w:lang w:val="ru-RU"/>
        </w:rPr>
        <w:t>(перечень водных объектов размещен на официальном сайте Департамента агропромышленного комплекса Курганской области вкладка Отрасль — Аквакультура — Водные объекты ,  http://dsh.kurganobl.ru/5354.html)</w:t>
      </w:r>
      <w:r>
        <w:rPr>
          <w:rFonts w:ascii="Arial" w:hAnsi="Arial"/>
          <w:i/>
          <w:iCs/>
          <w:color w:val="000000"/>
          <w:sz w:val="24"/>
          <w:szCs w:val="24"/>
          <w:lang w:val="ru-RU"/>
        </w:rPr>
        <w:t>.</w:t>
      </w:r>
    </w:p>
    <w:p>
      <w:pPr>
        <w:pStyle w:val="Style19"/>
        <w:pBdr/>
        <w:spacing w:lineRule="auto" w:line="240"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н)  сведения о том, что владелец сетного орудия ознакомлен с требованиями </w:t>
      </w:r>
      <w:r>
        <w:rPr>
          <w:rFonts w:ascii="Arial" w:hAnsi="Arial"/>
          <w:color w:val="000000"/>
          <w:sz w:val="24"/>
          <w:szCs w:val="24"/>
        </w:rPr>
        <w:t>П</w:t>
      </w:r>
      <w:r>
        <w:rPr>
          <w:rFonts w:ascii="Arial" w:hAnsi="Arial"/>
          <w:color w:val="000000"/>
          <w:sz w:val="24"/>
          <w:szCs w:val="24"/>
        </w:rPr>
        <w:t xml:space="preserve">равил рыболовства для </w:t>
      </w:r>
      <w:r>
        <w:rPr>
          <w:rFonts w:ascii="Arial" w:hAnsi="Arial"/>
          <w:color w:val="000000"/>
          <w:sz w:val="24"/>
          <w:szCs w:val="24"/>
        </w:rPr>
        <w:t xml:space="preserve">Западно-Сибирского </w:t>
      </w:r>
      <w:r>
        <w:rPr>
          <w:rFonts w:ascii="Arial" w:hAnsi="Arial"/>
          <w:color w:val="000000"/>
          <w:sz w:val="24"/>
          <w:szCs w:val="24"/>
        </w:rPr>
        <w:t>рыбохозяйственного бассейна, на территории которого планируется осуществлять любительское рыболовство с применением сетных орудий.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ind w:left="0" w:right="0" w:hanging="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</w:r>
      <w:r>
        <w:rPr>
          <w:rFonts w:ascii="Arial" w:hAnsi="Arial"/>
          <w:b/>
          <w:bCs/>
          <w:i/>
          <w:iCs/>
          <w:color w:val="000000"/>
          <w:sz w:val="24"/>
          <w:szCs w:val="24"/>
          <w:lang w:val="ru-RU"/>
        </w:rPr>
        <w:t>После получения положительного ответа с номером самостоятельно изготовить и прикрепить на сеть табличку с указанием:</w:t>
      </w: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а) фамилия, имя и отчество (если имеется) владельца сетного орудия;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 xml:space="preserve">б) характеристики сетного орудия, в том числе: </w:t>
      </w:r>
      <w:r>
        <w:rPr>
          <w:rFonts w:ascii="Arial" w:hAnsi="Arial"/>
          <w:color w:val="000000"/>
          <w:sz w:val="24"/>
          <w:szCs w:val="24"/>
          <w:lang w:val="ru-RU"/>
        </w:rPr>
        <w:t>д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ля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ставных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 сетей - длин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а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и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 размер (шага) ячеи,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д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 xml:space="preserve">ля </w:t>
      </w:r>
      <w:r>
        <w:rPr>
          <w:rFonts w:ascii="Arial" w:hAnsi="Arial"/>
          <w:b w:val="false"/>
          <w:bCs w:val="false"/>
          <w:color w:val="000000"/>
          <w:sz w:val="24"/>
          <w:szCs w:val="24"/>
          <w:lang w:val="ru-RU"/>
        </w:rPr>
        <w:t>фитилей - длина крыла и  размер (шага) ячеи</w:t>
      </w:r>
      <w:r>
        <w:rPr>
          <w:rFonts w:ascii="Arial" w:hAnsi="Arial"/>
          <w:color w:val="000000"/>
          <w:sz w:val="24"/>
          <w:szCs w:val="24"/>
          <w:lang w:val="ru-RU"/>
        </w:rPr>
        <w:t>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в) учетный номер сетного орудия.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</w:r>
      <w:r>
        <w:rPr>
          <w:rFonts w:ascii="Arial" w:hAnsi="Arial"/>
          <w:b/>
          <w:bCs/>
          <w:color w:val="000000"/>
          <w:sz w:val="24"/>
          <w:szCs w:val="24"/>
          <w:lang w:val="ru-RU"/>
        </w:rPr>
        <w:t>Информация на маркировочных знаках должна быть разборчивой и доступной для визуального осмотра без применения вспомогательных средств.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В случае изменения места жительства (при наличии регистрации) либо места пребывания (при наличии регистрации) владельца сетного орудия, переоборудования (модернизации) сетного орудия владелец сетного орудия обязан представить соответствующую информацию о внесении изменений в его учетные данные путем направления заявления о внесении изменений в его учетные данные в территориальный орган в течение 15 рабочих дней со дня наступления одного из указанных событий.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В случае смены владельца сетного орудия, утраты (утери) сетного орудия, а также в случае утилизации или уничтожения сетного орудия без замены сетного орудия на равнозначное по параметрам, прежний владелец сетного орудия обязан представить соответствующую информацию об аннулировании учетного номера в реестре путем направления заявления об аннулировании учетного номера в реестре в территориальный орган в течение 15 рабочих дней со дня наступления одного из указанных событий.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В случае утилизации или уничтожения сетного орудия в связи с существенным износом сетного орудия (потери им своих свойств под воздействием природных факторов) владелец сетного орудия имеет право заменить сетное орудие на равнозначное по параметрам, которые первоначально внесены в реестр, и использовать его без направления заявления о внесении изменений в его учетные данные или заявления об аннулировании учетного номера в реестре в территориальный орган. При этом потерявшее свои свойства сетное орудие не может применяться в целях осуществления любительского рыболовства.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ind w:left="0" w:right="0" w:hanging="0"/>
        <w:jc w:val="center"/>
        <w:rPr>
          <w:rFonts w:ascii="Arial" w:hAnsi="Arial"/>
          <w:color w:val="000000"/>
          <w:sz w:val="24"/>
          <w:szCs w:val="24"/>
          <w:lang w:val="ru-RU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</w:r>
    </w:p>
    <w:p>
      <w:pPr>
        <w:pStyle w:val="Style19"/>
        <w:pBdr/>
        <w:spacing w:lineRule="atLeast" w:line="255" w:before="0" w:after="0"/>
        <w:ind w:left="0" w:right="0" w:hanging="0"/>
        <w:jc w:val="center"/>
        <w:rPr>
          <w:rFonts w:ascii="Arial" w:hAnsi="Arial"/>
          <w:i/>
          <w:i/>
          <w:iCs/>
          <w:color w:val="000000"/>
          <w:sz w:val="24"/>
          <w:szCs w:val="24"/>
          <w:lang w:val="ru-RU"/>
        </w:rPr>
      </w:pPr>
      <w:r>
        <w:rPr>
          <w:rFonts w:ascii="Arial" w:hAnsi="Arial"/>
          <w:i/>
          <w:iCs/>
          <w:color w:val="000000"/>
          <w:sz w:val="24"/>
          <w:szCs w:val="24"/>
          <w:lang w:val="ru-RU"/>
        </w:rPr>
      </w:r>
    </w:p>
    <w:p>
      <w:pPr>
        <w:pStyle w:val="Style19"/>
        <w:pBdr/>
        <w:spacing w:lineRule="atLeast" w:line="255" w:before="0" w:after="0"/>
        <w:ind w:left="0" w:right="0" w:hanging="0"/>
        <w:jc w:val="center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  <w:lang w:val="ru-RU"/>
        </w:rPr>
        <w:t>Заявление о внесении изменений в учетные данные и заявление об аннулировании учетного номера в реестре</w:t>
      </w: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ind w:left="0" w:right="0" w:hanging="0"/>
        <w:jc w:val="both"/>
        <w:rPr/>
      </w:pPr>
      <w:r>
        <w:rPr>
          <w:rFonts w:ascii="Arial" w:hAnsi="Arial"/>
          <w:color w:val="000000"/>
          <w:sz w:val="24"/>
          <w:szCs w:val="24"/>
          <w:lang w:val="ru-RU"/>
        </w:rPr>
        <w:tab/>
        <w:t>Заявление о внесении изменений в учетные данные и заявление об аннулировании учетного номера в реестре подаются лично владельцем сетного орудия, имеющего учетный номер, в </w:t>
      </w:r>
      <w:r>
        <w:rPr>
          <w:rFonts w:ascii="Arial" w:hAnsi="Arial"/>
          <w:color w:val="000000"/>
          <w:sz w:val="24"/>
          <w:szCs w:val="24"/>
          <w:lang w:val="ru-RU"/>
        </w:rPr>
        <w:t>Отдел госконтрол</w:t>
      </w:r>
      <w:r>
        <w:rPr>
          <w:rFonts w:ascii="Arial" w:hAnsi="Arial"/>
          <w:color w:val="000000"/>
          <w:sz w:val="24"/>
          <w:szCs w:val="24"/>
          <w:lang w:val="ru-RU"/>
        </w:rPr>
        <w:t>я</w:t>
      </w:r>
      <w:r>
        <w:rPr>
          <w:rFonts w:ascii="Arial" w:hAnsi="Arial"/>
          <w:color w:val="000000"/>
          <w:sz w:val="24"/>
          <w:szCs w:val="24"/>
          <w:lang w:val="ru-RU"/>
        </w:rPr>
        <w:t>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before="0" w:after="0"/>
        <w:ind w:left="0" w:right="0" w:hanging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</w:r>
      <w:r>
        <w:rPr>
          <w:rFonts w:ascii="Arial" w:hAnsi="Arial"/>
          <w:b/>
          <w:bCs/>
          <w:i/>
          <w:iCs/>
          <w:color w:val="000000"/>
          <w:sz w:val="24"/>
          <w:szCs w:val="24"/>
          <w:lang w:val="ru-RU"/>
        </w:rPr>
        <w:t>В заявлении о внесении изменений в учетные данные указывается следующая информация: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 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а) наименование территориального органа, в который подается заявление о внесении изменений в учетные данные;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б) фамилия, имя, отчество (при наличии) владельца сетного орудия (для физических лиц и индивидуальных предпринимателей) или полное наименование юридического лица, являющегося владельцем сетного орудия (для юридического лица);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в) учетный номер сетного орудия, в отношении которого требуется изменение данных;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г) адрес места жительства (места пребывания) или места нахождения владельца сетного орудия;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д) номер контактного телефона и (или) адрес электронной почты (при их наличии) владельца сетного орудия;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е) данные, подлежащие замене;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ж) новые данные, подлежащие включению в реестр.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</w:r>
      <w:r>
        <w:rPr>
          <w:rFonts w:ascii="Arial" w:hAnsi="Arial"/>
          <w:i/>
          <w:iCs/>
          <w:color w:val="000000"/>
          <w:sz w:val="24"/>
          <w:szCs w:val="24"/>
          <w:lang w:val="ru-RU"/>
        </w:rPr>
        <w:t>В заявлении об аннулировании учетного номера в реестре указывается: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а) наименование территориального органа, в который подается заявление об аннулировании учетного номера в реестре;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б) фамилия, имя, отчество (при наличии) владельца сетного орудия (для физических лиц и индивидуальных предпринимателей) или полное наименование юридического лица, являющегося владельцем сетного орудия (для юридического лица);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в) учетный номер сетного орудия, учет которого аннулируется;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г) адрес места жительства (места пребывания) владельца сетного орудия;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д) номер контактного телефона и (или) адрес электронной почты (при их наличии) владельца сетного орудия;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е) причины аннулирования учетного номера.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</w:r>
      <w:r>
        <w:rPr>
          <w:rFonts w:ascii="Arial" w:hAnsi="Arial"/>
          <w:i/>
          <w:iCs/>
          <w:color w:val="000000"/>
          <w:sz w:val="24"/>
          <w:szCs w:val="24"/>
          <w:lang w:val="ru-RU"/>
        </w:rPr>
        <w:t>Учетный номер аннулируется на основании:</w:t>
      </w:r>
      <w:r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 w:before="0" w:after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а) заявления об аннулировании учетного номера в реестре;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Style19"/>
        <w:pBdr/>
        <w:spacing w:lineRule="atLeast" w:line="255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lang w:val="ru-RU"/>
        </w:rPr>
        <w:tab/>
        <w:t>б) решения суда о конфискации сетного орудия.</w:t>
      </w:r>
      <w:r>
        <w:rPr>
          <w:rFonts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8"/>
    <w:next w:val="Style19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>
      <w:rFonts w:ascii="Arial" w:hAnsi="Arial"/>
    </w:rPr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numbering" w:styleId="1">
    <w:name w:val="Маркированный список 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zrf.su/zakon/2018-12-25-n-475-fz/" TargetMode="External"/><Relationship Id="rId3" Type="http://schemas.openxmlformats.org/officeDocument/2006/relationships/hyperlink" Target="mailto:goscontrol45@noturfish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LibreOffice/6.1.4.2$Windows_x86 LibreOffice_project/9d0f32d1f0b509096fd65e0d4bec26ddd1938fd3</Application>
  <Pages>3</Pages>
  <Words>1011</Words>
  <CharactersWithSpaces>7813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2020-08-25T16:45:45Z</dcterms:created>
  <dc:creator/>
  <dc:description/>
  <dc:language>ru-RU</dc:language>
  <cp:lastModifiedBy/>
  <cp:lastPrinted>2021-05-24T16:46:46Z</cp:lastPrinted>
  <dcterms:modified xsi:type="dcterms:W3CDTF">2021-05-24T16:46:50Z</dcterms:modified>
  <cp:revision>19</cp:revision>
  <dc:subject/>
  <dc:title/>
</cp:coreProperties>
</file>