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65" w:rsidRPr="00FE6165" w:rsidRDefault="00FE6165" w:rsidP="00FE6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Обращаем Ваше внимание на то, что отказ в допуске представителя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специализированной организации для выполнения работ по техническому обслуживанию и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ремонту внутридомового и (или) внутриквартирного газового оборудования в случае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уведомления о выполнении таких работ в установленном порядке влечет административную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 xml:space="preserve">ответственность, предусмотренную ч. 3 </w:t>
      </w:r>
      <w:proofErr w:type="spellStart"/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ст</w:t>
      </w:r>
      <w:proofErr w:type="spellEnd"/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, 9.23 КоАП РФ и наложение административного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штрафа в размере от одной тысячи до двух тысяч рублей.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С целью обеспечения безопасности жизни и здоровья людей, обращаем Ваше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внимание на необходимость соблюдения требований действующего законодательства в</w:t>
      </w:r>
      <w:r w:rsidRPr="00FE6165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E6165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части использования и содержания газового оборудования.</w:t>
      </w:r>
    </w:p>
    <w:p w:rsidR="00C943B6" w:rsidRDefault="00C943B6">
      <w:bookmarkStart w:id="0" w:name="_GoBack"/>
      <w:bookmarkEnd w:id="0"/>
    </w:p>
    <w:sectPr w:rsidR="00C9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43"/>
    <w:rsid w:val="00982C43"/>
    <w:rsid w:val="00C943B6"/>
    <w:rsid w:val="00FE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9B047-306C-4ED8-9BBF-C525A54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2023-01-25T08:29:00Z</dcterms:created>
  <dcterms:modified xsi:type="dcterms:W3CDTF">2023-01-25T08:29:00Z</dcterms:modified>
</cp:coreProperties>
</file>