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13 января 2025 года введено обязательное нотариальное заверение сделок по дарению недвижимости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708"/>
        <w:jc w:val="both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13 декабря 2024 года подписан Федеральный закон № 459-ФЗ от 13.12.2024 г., согласно которому все сделки по дарению недвижимости между гражданами подлежат обязательному нотариальному заверению.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Закон вступил в силу с 13 января 2025 года.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Таким образом, с 13 января 2025 года, заверять у нотариуса нужно все сделки  по дарению недвижимости между гражданами,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независимо от наличия или отс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утствия родства между сторонами сделки, то есть как близким или дальним родственникам, так и супругам или лицам, которые друг другу родственниками не приходятся.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Закон направлен на пресечение мошеннических схем с недвижимостью, так как дарственные в простой письменной форме являются одним из самых распространенных инструментов по незаконному отъёму жилья, особенно у пожилых людей. Мно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гие из них не понимают, что устные договоренности между сторонами сделки остаются на словах и не имеют юридической силы, а переход права собственности на недвижимость происходит сразу после госрегистрации сделки. Не исключены случаи обмана, когда человеку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под видом договора купли-продажи или пожизненной ренты дают на подпись договор дарения. Доказать недействительность такой сделки крайне затруднительно, так как расторгнуть зарегистрированный в ЕГРН договор дарения, заключенный в простой письменной форме, 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ожно только</w:t>
      </w:r>
      <w:r>
        <w:rPr>
          <w:rFonts w:ascii="Tinos" w:hAnsi="Tinos" w:eastAsia="Tinos" w:cs="Tinos"/>
          <w:sz w:val="28"/>
          <w:szCs w:val="28"/>
        </w:rPr>
        <w:t xml:space="preserve"> в судебном порядке.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«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Участие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нотариуса обезопасит собственника от введения в заблуждение и пресечёт мошеннический подход к отчуждению имущества. Нотариус обязан разъяснять сторонам суть и последствия подписания каждого документа, возможные последствия дарения, уточнять в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олю сторон, искл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ючать риски подписания сделки под давлением или в неадекватном состоянии. Важно и то, что каждый нотариус несёт полную имущественную ответственность за удостоверенную им сделку.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 регистрирующий орган будут поступать проверен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ные документы на переход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права собственности», – отмети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 Александр Чередниченко, руководитель Управления Росреестра по Курганской области.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2025-01-20T05:29:51Z</dcterms:modified>
</cp:coreProperties>
</file>