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center"/>
        <w:rPr>
          <w:rStyle w:val="Style11"/>
          <w:lang w:eastAsia="ru-RU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2462530</wp:posOffset>
            </wp:positionH>
            <wp:positionV relativeFrom="paragraph">
              <wp:posOffset>-250190</wp:posOffset>
            </wp:positionV>
            <wp:extent cx="914400" cy="957580"/>
            <wp:effectExtent l="0" t="0" r="0" b="0"/>
            <wp:wrapNone/>
            <wp:docPr id="1" name="Рисунок 1" descr="Описание: 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tabs>
          <w:tab w:val="clear" w:pos="720"/>
          <w:tab w:val="left" w:pos="284" w:leader="none"/>
          <w:tab w:val="left" w:pos="1418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Российская Федерация                        ПРОЕКТ</w:t>
      </w:r>
    </w:p>
    <w:p>
      <w:pPr>
        <w:pStyle w:val="Style23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Курганская область</w:t>
      </w:r>
    </w:p>
    <w:p>
      <w:pPr>
        <w:pStyle w:val="Style23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Макушинский муниципальный округ</w:t>
      </w:r>
    </w:p>
    <w:p>
      <w:pPr>
        <w:pStyle w:val="Style23"/>
        <w:jc w:val="center"/>
        <w:rPr>
          <w:rFonts w:ascii="Arial" w:hAnsi="Arial" w:cs="Arial"/>
          <w:b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p>
      <w:pPr>
        <w:pStyle w:val="Style23"/>
        <w:jc w:val="center"/>
        <w:rPr/>
      </w:pPr>
      <w:r>
        <w:rPr>
          <w:rStyle w:val="Style11"/>
          <w:rFonts w:cs="Arial" w:ascii="Arial" w:hAnsi="Arial"/>
          <w:b/>
        </w:rPr>
        <w:t xml:space="preserve"> </w:t>
      </w:r>
      <w:r>
        <w:rPr>
          <w:rStyle w:val="Style11"/>
          <w:rFonts w:cs="Arial" w:ascii="Arial" w:hAnsi="Arial"/>
          <w:b/>
          <w:sz w:val="32"/>
          <w:szCs w:val="32"/>
        </w:rPr>
        <w:t>Дума Макушинского муниципального округа</w:t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ind w:hanging="993"/>
        <w:jc w:val="center"/>
        <w:rPr>
          <w:rFonts w:ascii="Arial" w:hAnsi="Arial" w:cs="Arial"/>
          <w:b/>
          <w:b/>
          <w:bCs/>
          <w:sz w:val="72"/>
          <w:szCs w:val="72"/>
        </w:rPr>
      </w:pPr>
      <w:r>
        <w:rPr>
          <w:rFonts w:cs="Arial" w:ascii="Arial" w:hAnsi="Arial"/>
          <w:b/>
          <w:bCs/>
          <w:sz w:val="72"/>
          <w:szCs w:val="72"/>
        </w:rPr>
        <w:t>Решение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г. Макушино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yle11"/>
          <w:b/>
          <w:bCs/>
          <w:sz w:val="24"/>
          <w:szCs w:val="24"/>
        </w:rPr>
        <w:t xml:space="preserve">О порядке </w:t>
      </w:r>
      <w:r>
        <w:rPr>
          <w:rStyle w:val="Style11"/>
          <w:rFonts w:eastAsia="Arial"/>
          <w:b/>
          <w:bCs/>
          <w:sz w:val="24"/>
          <w:szCs w:val="24"/>
        </w:rPr>
        <w:t>принятия решения о применении к депутату Думы Макушинского муниципального округа Курганской области, Главе Макушинского муниципального округа Курганской области,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/>
      </w:pPr>
      <w:r>
        <w:rPr>
          <w:rStyle w:val="Style11"/>
          <w:sz w:val="24"/>
          <w:szCs w:val="24"/>
        </w:rPr>
        <w:t xml:space="preserve">В соответствии с Федеральным законом от 25 декабря 2008 года № 273-ФЗ       «О противодействии коррупции», </w:t>
      </w:r>
      <w:r>
        <w:rPr>
          <w:rStyle w:val="Style11"/>
          <w:rFonts w:eastAsia="Arial"/>
          <w:sz w:val="24"/>
          <w:szCs w:val="24"/>
        </w:rPr>
        <w:t xml:space="preserve">Федеральным законом от 6 октября 2003 года                         № 131-ФЗ «Об общих принципах организации местного самоуправления в Российской Федерации», Законом Курганской области от 3 марта 2009 года № 439                                   «О противодействии коррупции в Курганской области», </w:t>
      </w:r>
      <w:r>
        <w:rPr>
          <w:rStyle w:val="Style11"/>
          <w:sz w:val="24"/>
          <w:szCs w:val="24"/>
        </w:rPr>
        <w:t xml:space="preserve">Уставом Макушинского муниципального округа Курганской области, </w:t>
      </w:r>
      <w:r>
        <w:rPr>
          <w:rStyle w:val="Style11"/>
          <w:b/>
          <w:sz w:val="24"/>
          <w:szCs w:val="24"/>
        </w:rPr>
        <w:t>Дума Макушинского муниципального округа РЕШИЛА:</w:t>
      </w:r>
    </w:p>
    <w:p>
      <w:pPr>
        <w:pStyle w:val="Normal"/>
        <w:ind w:firstLine="720"/>
        <w:jc w:val="both"/>
        <w:rPr/>
      </w:pPr>
      <w:r>
        <w:rPr>
          <w:rStyle w:val="Style11"/>
          <w:sz w:val="24"/>
          <w:szCs w:val="24"/>
        </w:rPr>
        <w:t xml:space="preserve">1. Утвердить порядок </w:t>
      </w:r>
      <w:r>
        <w:rPr>
          <w:rStyle w:val="Style11"/>
          <w:rFonts w:eastAsia="Arial"/>
          <w:sz w:val="24"/>
          <w:szCs w:val="24"/>
        </w:rPr>
        <w:t>принятия решения о применении к депутату Думы Макушинского муниципального округа Курганской области, Главе Макушинского муниципального округа Курганской области,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Style w:val="Style11"/>
          <w:sz w:val="24"/>
          <w:szCs w:val="24"/>
        </w:rPr>
        <w:t xml:space="preserve"> согласно приложению к настоящему решению.</w:t>
      </w:r>
    </w:p>
    <w:p>
      <w:pPr>
        <w:pStyle w:val="ConsPlusNormal"/>
        <w:tabs>
          <w:tab w:val="clear" w:pos="720"/>
          <w:tab w:val="left" w:pos="1064" w:leader="none"/>
        </w:tabs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2. Обнародовать настоящее решение в соответствии с Уставом Макушинского муниципального округа Курганской области и разместить его на официальном сайте Администрации Макушинского муниципального округа в информационно-коммуникационной сети Интернет.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3. Контроль за исполнением настоящего решения возложить на постоянную мандатную комиссию Думы Макушинского муниципального округа.</w:t>
        <w:tab/>
      </w:r>
    </w:p>
    <w:p>
      <w:pPr>
        <w:pStyle w:val="Normal"/>
        <w:autoSpaceD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3"/>
        <w:shd w:fill="FFFFFF" w:val="clear"/>
        <w:spacing w:lineRule="auto" w:line="240"/>
        <w:rPr/>
      </w:pPr>
      <w:r>
        <w:rPr>
          <w:rStyle w:val="22"/>
          <w:rFonts w:cs="Arial"/>
          <w:b w:val="false"/>
          <w:bCs w:val="false"/>
          <w:color w:val="000000"/>
          <w:spacing w:val="3"/>
          <w:sz w:val="24"/>
          <w:szCs w:val="24"/>
        </w:rPr>
        <w:t>Председатель Думы Макушинского</w:t>
      </w:r>
    </w:p>
    <w:p>
      <w:pPr>
        <w:pStyle w:val="33"/>
        <w:shd w:fill="FFFFFF" w:val="clear"/>
        <w:spacing w:lineRule="auto" w:line="240"/>
        <w:rPr/>
      </w:pPr>
      <w:r>
        <w:rPr>
          <w:rStyle w:val="22"/>
          <w:rFonts w:cs="Arial"/>
          <w:b w:val="false"/>
          <w:bCs w:val="false"/>
          <w:color w:val="000000"/>
          <w:spacing w:val="3"/>
          <w:sz w:val="24"/>
          <w:szCs w:val="24"/>
        </w:rPr>
        <w:t>муниципального округа</w:t>
        <w:tab/>
        <w:t xml:space="preserve">                                                                           А.А.Ситников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22"/>
          <w:rFonts w:cs="Arial"/>
          <w:b w:val="false"/>
          <w:bCs w:val="false"/>
          <w:color w:val="000000"/>
          <w:sz w:val="24"/>
          <w:szCs w:val="24"/>
        </w:rPr>
        <w:t>Глава Макушинского муниципального округа                                                  А.Н.Кактов</w:t>
      </w:r>
    </w:p>
    <w:p>
      <w:pPr>
        <w:pStyle w:val="Normal"/>
        <w:rPr/>
      </w:pPr>
      <w:r>
        <w:rPr/>
      </w:r>
    </w:p>
    <w:p>
      <w:pPr>
        <w:pStyle w:val="Normal"/>
        <w:autoSpaceDE w:val="false"/>
        <w:ind w:firstLine="423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решению</w:t>
      </w:r>
    </w:p>
    <w:p>
      <w:pPr>
        <w:pStyle w:val="Normal"/>
        <w:autoSpaceDE w:val="false"/>
        <w:ind w:firstLine="4230"/>
        <w:jc w:val="both"/>
        <w:rPr>
          <w:sz w:val="24"/>
          <w:szCs w:val="24"/>
        </w:rPr>
      </w:pPr>
      <w:r>
        <w:rPr>
          <w:sz w:val="24"/>
          <w:szCs w:val="24"/>
        </w:rPr>
        <w:t>Думы Макушинского муниципального округа</w:t>
      </w:r>
    </w:p>
    <w:p>
      <w:pPr>
        <w:pStyle w:val="Normal"/>
        <w:ind w:firstLine="4275"/>
        <w:rPr/>
      </w:pPr>
      <w:r>
        <w:rPr>
          <w:rStyle w:val="Style11"/>
          <w:sz w:val="24"/>
          <w:szCs w:val="24"/>
        </w:rPr>
        <w:t xml:space="preserve">от 04.02.2021г. № </w:t>
      </w:r>
      <w:r>
        <w:rPr>
          <w:rStyle w:val="Style11"/>
          <w:sz w:val="24"/>
          <w:szCs w:val="24"/>
          <w:u w:val="single"/>
        </w:rPr>
        <w:t>91</w:t>
      </w:r>
    </w:p>
    <w:p>
      <w:pPr>
        <w:pStyle w:val="Normal"/>
        <w:autoSpaceDE w:val="false"/>
        <w:ind w:firstLine="4230"/>
        <w:jc w:val="both"/>
        <w:rPr/>
      </w:pPr>
      <w:r>
        <w:rPr>
          <w:rStyle w:val="Style11"/>
          <w:sz w:val="24"/>
          <w:szCs w:val="24"/>
        </w:rPr>
        <w:t xml:space="preserve">«О порядке </w:t>
      </w:r>
      <w:r>
        <w:rPr>
          <w:rStyle w:val="Style11"/>
          <w:rFonts w:eastAsia="Arial"/>
          <w:sz w:val="24"/>
          <w:szCs w:val="24"/>
        </w:rPr>
        <w:t>принятия решения о применении к</w:t>
      </w:r>
    </w:p>
    <w:p>
      <w:pPr>
        <w:pStyle w:val="Normal"/>
        <w:autoSpaceDE w:val="false"/>
        <w:ind w:firstLine="423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депутату Думы Макушинского муниципального</w:t>
      </w:r>
    </w:p>
    <w:p>
      <w:pPr>
        <w:pStyle w:val="Normal"/>
        <w:autoSpaceDE w:val="false"/>
        <w:ind w:firstLine="423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округа Курганской области, Главе Макушинского</w:t>
      </w:r>
    </w:p>
    <w:p>
      <w:pPr>
        <w:pStyle w:val="Normal"/>
        <w:autoSpaceDE w:val="false"/>
        <w:ind w:firstLine="423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муниципального округа Курганской области,</w:t>
      </w:r>
    </w:p>
    <w:p>
      <w:pPr>
        <w:pStyle w:val="Normal"/>
        <w:autoSpaceDE w:val="false"/>
        <w:ind w:firstLine="423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представившим недостоверные или неполные</w:t>
      </w:r>
    </w:p>
    <w:p>
      <w:pPr>
        <w:pStyle w:val="Normal"/>
        <w:autoSpaceDE w:val="false"/>
        <w:ind w:firstLine="4230"/>
        <w:jc w:val="both"/>
        <w:rPr/>
      </w:pPr>
      <w:r>
        <w:rPr>
          <w:rStyle w:val="Style11"/>
          <w:rFonts w:eastAsia="Arial"/>
          <w:sz w:val="24"/>
          <w:szCs w:val="24"/>
        </w:rPr>
        <w:t>сведения о доходах, расходах, об имуществе и</w:t>
      </w:r>
    </w:p>
    <w:p>
      <w:pPr>
        <w:pStyle w:val="Normal"/>
        <w:autoSpaceDE w:val="false"/>
        <w:ind w:firstLine="4230"/>
        <w:jc w:val="both"/>
        <w:rPr/>
      </w:pPr>
      <w:r>
        <w:rPr>
          <w:rStyle w:val="Style11"/>
          <w:rFonts w:eastAsia="Arial"/>
          <w:sz w:val="24"/>
          <w:szCs w:val="24"/>
        </w:rPr>
        <w:t>обязательствах имущественного характера, мер</w:t>
      </w:r>
    </w:p>
    <w:p>
      <w:pPr>
        <w:pStyle w:val="Normal"/>
        <w:autoSpaceDE w:val="false"/>
        <w:ind w:firstLine="4230"/>
        <w:jc w:val="both"/>
        <w:rPr/>
      </w:pPr>
      <w:r>
        <w:rPr>
          <w:rStyle w:val="Style11"/>
          <w:rFonts w:eastAsia="Arial"/>
          <w:sz w:val="24"/>
          <w:szCs w:val="24"/>
        </w:rPr>
        <w:t>ответственности</w:t>
      </w:r>
      <w:r>
        <w:rPr>
          <w:rStyle w:val="Style11"/>
          <w:sz w:val="24"/>
          <w:szCs w:val="24"/>
        </w:rPr>
        <w:t>»</w:t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yle11"/>
          <w:b/>
          <w:bCs/>
          <w:sz w:val="24"/>
          <w:szCs w:val="24"/>
        </w:rPr>
        <w:t>ПОРЯДОК</w:t>
      </w:r>
    </w:p>
    <w:p>
      <w:pPr>
        <w:pStyle w:val="Normal"/>
        <w:autoSpaceDE w:val="false"/>
        <w:jc w:val="center"/>
        <w:rPr/>
      </w:pPr>
      <w:r>
        <w:rPr>
          <w:rStyle w:val="Style11"/>
          <w:rFonts w:eastAsia="Arial"/>
          <w:b/>
          <w:bCs/>
          <w:sz w:val="24"/>
          <w:szCs w:val="24"/>
        </w:rPr>
        <w:t>принятия решения о применении к депутату Думы Макушинского муниципального округа Курганской области, Главе Макушинского муниципального округа Курганской области,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DocList"/>
        <w:tabs>
          <w:tab w:val="clear" w:pos="720"/>
          <w:tab w:val="left" w:pos="1005" w:leader="none"/>
        </w:tabs>
        <w:ind w:firstLine="709"/>
        <w:jc w:val="both"/>
        <w:rPr/>
      </w:pPr>
      <w:r>
        <w:rPr>
          <w:rStyle w:val="Style11"/>
          <w:rFonts w:cs="Arial" w:ascii="Arial" w:hAnsi="Arial"/>
          <w:sz w:val="24"/>
          <w:szCs w:val="24"/>
        </w:rPr>
        <w:t xml:space="preserve">1. Настоящим Порядком </w:t>
      </w:r>
      <w:r>
        <w:rPr>
          <w:rStyle w:val="Style11"/>
          <w:rFonts w:eastAsia="Arial" w:cs="Arial" w:ascii="Arial" w:hAnsi="Arial"/>
          <w:sz w:val="24"/>
          <w:szCs w:val="24"/>
        </w:rPr>
        <w:t>принятия решения о применении к депутату Думы Макушинского муниципального округа Курганской области (далее – депутат Думы), Главе Макушинского муниципального округа Курганской области (далее – Глава округа) мер ответственности (далее — Порядок) определяется порядок принятия решения о применении к депутату Думы, Главе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сведения), если искажение этих сведений является несущественным, мер ответственности.</w:t>
      </w:r>
    </w:p>
    <w:p>
      <w:pPr>
        <w:pStyle w:val="Normal"/>
        <w:tabs>
          <w:tab w:val="clear" w:pos="720"/>
          <w:tab w:val="left" w:pos="1005" w:leader="none"/>
        </w:tabs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>2. К депутату Думы, Главе округа, представившим недостоверные или неполные сведения, если искажение этих сведений является несущественным, могут быть применены  меры ответственности, указанные в части 7</w:t>
      </w:r>
      <w:r>
        <w:rPr>
          <w:rStyle w:val="Style11"/>
          <w:rFonts w:eastAsia="Arial"/>
          <w:position w:val="24"/>
          <w:sz w:val="16"/>
          <w:sz w:val="24"/>
          <w:szCs w:val="24"/>
        </w:rPr>
        <w:t xml:space="preserve">3-1 </w:t>
      </w:r>
      <w:r>
        <w:rPr>
          <w:rStyle w:val="Style11"/>
          <w:rFonts w:eastAsia="Arial"/>
          <w:sz w:val="24"/>
          <w:szCs w:val="24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— меры  юридической ответственности).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3. Решение Думы Макушинского муниципального округа о применении к депутату Думы, Главе округа мер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 xml:space="preserve">ответственности принимается не позднее чем через 30 дней со дня появления основания для применения мер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>ответственности, а если это основание появилось в период между сессиями Думы Макушинского муниципального округа - не позднее чем через три месяца со дня появления такого основания.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Основанием для применения к депутату Думы  мер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 xml:space="preserve">ответственности является </w:t>
      </w:r>
      <w:r>
        <w:rPr>
          <w:rStyle w:val="Style11"/>
          <w:spacing w:val="2"/>
          <w:sz w:val="24"/>
          <w:szCs w:val="24"/>
          <w:highlight w:val="white"/>
        </w:rPr>
        <w:t>представление прокурора Макушинского района о принятии мер в связи с выявлением фактов недостоверности или неполноты представленных депутатом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решение суда, в случае если вопросы об установлении фактов недостоверности или неполноты представленных сведений рассматривались в судебном порядке.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Основанием для применения к Главе округа  мер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 xml:space="preserve">ответственности является заявление Губернатора Курганской области о применении в отношении Главы округа мер юридической ответственности, поступившее в Думу Макушинского муниципального округа </w:t>
      </w:r>
      <w:r>
        <w:rPr>
          <w:rStyle w:val="Style11"/>
          <w:sz w:val="24"/>
          <w:szCs w:val="24"/>
        </w:rPr>
        <w:t>Курганской области.</w:t>
      </w:r>
      <w:r>
        <w:rPr>
          <w:rStyle w:val="Style11"/>
          <w:rFonts w:eastAsia="Arial"/>
          <w:sz w:val="24"/>
          <w:szCs w:val="24"/>
        </w:rPr>
        <w:t xml:space="preserve">                                    </w:t>
      </w:r>
    </w:p>
    <w:p>
      <w:pPr>
        <w:pStyle w:val="Style22"/>
        <w:shd w:fill="FFFFFF" w:val="clear"/>
        <w:spacing w:before="0" w:after="0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Днем появления основания для применения мер юридической ответственности является день поступления в Думу Макушинского муниципального округа </w:t>
      </w:r>
      <w:r>
        <w:rPr>
          <w:rStyle w:val="Style11"/>
          <w:sz w:val="24"/>
          <w:szCs w:val="24"/>
        </w:rPr>
        <w:t>Курганской области</w:t>
      </w:r>
      <w:r>
        <w:rPr>
          <w:rStyle w:val="Style11"/>
          <w:rFonts w:eastAsia="Arial"/>
          <w:sz w:val="24"/>
          <w:szCs w:val="24"/>
        </w:rPr>
        <w:t xml:space="preserve"> заявления Губернатора Курганской области о применении в отношении Главы округа мер юридической ответственности.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4. Предложение с мотивированным обоснованием о применении конкретной меры юридической ответственности к Главе округа выносится на рассмотрение Думы Макушинского муниципального округа рабочей группой, образуемой Думы Макушинского муниципального округа </w:t>
      </w:r>
      <w:r>
        <w:rPr>
          <w:rStyle w:val="Style11"/>
          <w:sz w:val="24"/>
          <w:szCs w:val="24"/>
        </w:rPr>
        <w:t xml:space="preserve">Курганской области </w:t>
      </w:r>
      <w:r>
        <w:rPr>
          <w:rStyle w:val="Style11"/>
          <w:rFonts w:eastAsia="Arial"/>
          <w:sz w:val="24"/>
          <w:szCs w:val="24"/>
        </w:rPr>
        <w:t>не позднее 20 дней со дня появления основания для применения мер юридической ответственности.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Численный состав рабочей группы не может быть менее 3 депутатов Думы Макушинского муниципального округа </w:t>
      </w:r>
      <w:r>
        <w:rPr>
          <w:rStyle w:val="Style11"/>
          <w:sz w:val="24"/>
          <w:szCs w:val="24"/>
        </w:rPr>
        <w:t>Курганской области.</w:t>
      </w:r>
    </w:p>
    <w:p>
      <w:pPr>
        <w:pStyle w:val="Normal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Персональный состав рабочей группы формируется с учетом требований                      статьи 10 Федерального закона от 25 декабря 2008 года № 273-ФЗ                                             «О противодействии коррупции».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5. Глава Макушинского муниципального округа в отношении которого на заседании Думы Макушинского муниципального округа </w:t>
      </w:r>
      <w:r>
        <w:rPr>
          <w:rStyle w:val="Style11"/>
          <w:sz w:val="24"/>
          <w:szCs w:val="24"/>
        </w:rPr>
        <w:t>Курганской области</w:t>
      </w:r>
      <w:r>
        <w:rPr>
          <w:rStyle w:val="Style11"/>
          <w:rFonts w:eastAsia="Arial"/>
          <w:sz w:val="24"/>
          <w:szCs w:val="24"/>
        </w:rPr>
        <w:t xml:space="preserve"> рассматривается вопрос о применении мер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>ответственности, предоставляется слово для выступления.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6. Решение Думы Макушинского муниципального округа о применении избранной меры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 xml:space="preserve">ответственности к Главе округа должно содержать мотивированное обоснование ее применения и мотивированное обоснование, позволяющее считать искажение представленных сведений несущественным. Указанное решение принимается большинством голосов от установленной численности депутатов, тайным голосованием и подписывается председателем Думы Макушинского муниципального округа </w:t>
      </w:r>
      <w:r>
        <w:rPr>
          <w:rStyle w:val="Style11"/>
          <w:sz w:val="24"/>
          <w:szCs w:val="24"/>
        </w:rPr>
        <w:t>Курганской области.</w:t>
      </w:r>
      <w:r>
        <w:rPr>
          <w:rStyle w:val="Style11"/>
          <w:rFonts w:eastAsia="Arial"/>
          <w:sz w:val="24"/>
          <w:szCs w:val="24"/>
        </w:rPr>
        <w:t xml:space="preserve">     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Депутат, в отношении которого рассматривается вопрос о применении мер 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 xml:space="preserve">ответственности, заявляет до начала голосования о самоотводе. Самоотвод удовлетворяется без голосования.                           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7. В случае принятия решения о применении мер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 xml:space="preserve">ответственности к председателю Думы Макушинского муниципального округа </w:t>
      </w:r>
      <w:r>
        <w:rPr>
          <w:rStyle w:val="Style11"/>
          <w:sz w:val="24"/>
          <w:szCs w:val="24"/>
        </w:rPr>
        <w:t xml:space="preserve">Курганской области </w:t>
      </w:r>
      <w:r>
        <w:rPr>
          <w:rStyle w:val="Style11"/>
          <w:rFonts w:eastAsia="Arial"/>
          <w:sz w:val="24"/>
          <w:szCs w:val="24"/>
        </w:rPr>
        <w:t xml:space="preserve">данное решение подписывается депутатом, председательствующим на заседании Думы Макушинского муниципального округа </w:t>
      </w:r>
      <w:r>
        <w:rPr>
          <w:rStyle w:val="Style11"/>
          <w:sz w:val="24"/>
          <w:szCs w:val="24"/>
        </w:rPr>
        <w:t>Курганской области.</w:t>
      </w:r>
    </w:p>
    <w:p>
      <w:pPr>
        <w:pStyle w:val="Normal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8. Предупреждение применяется к Глава округа впервые допустившему несущественное искажение сведений за весь срок исполнения полномочий.</w:t>
      </w:r>
    </w:p>
    <w:p>
      <w:pPr>
        <w:pStyle w:val="Normal"/>
        <w:ind w:firstLine="709"/>
        <w:jc w:val="both"/>
        <w:rPr/>
      </w:pPr>
      <w:r>
        <w:rPr>
          <w:rStyle w:val="Style11"/>
          <w:rFonts w:eastAsia="Arial"/>
          <w:sz w:val="24"/>
          <w:szCs w:val="24"/>
        </w:rPr>
        <w:t xml:space="preserve">9. Копия решения о применении мер </w:t>
      </w:r>
      <w:r>
        <w:rPr>
          <w:rStyle w:val="Style11"/>
          <w:sz w:val="24"/>
          <w:szCs w:val="24"/>
        </w:rPr>
        <w:t xml:space="preserve">юридической </w:t>
      </w:r>
      <w:r>
        <w:rPr>
          <w:rStyle w:val="Style11"/>
          <w:rFonts w:eastAsia="Arial"/>
          <w:sz w:val="24"/>
          <w:szCs w:val="24"/>
        </w:rPr>
        <w:t>ответственности к Главе округа в течение 10 дней со дня его принятия вручается лицу, в отношении которого рассматривался вопрос, а также направляется Губернатору Курганской области.</w:t>
      </w:r>
    </w:p>
    <w:p>
      <w:pPr>
        <w:pStyle w:val="Normal"/>
        <w:tabs>
          <w:tab w:val="clear" w:pos="720"/>
          <w:tab w:val="left" w:pos="1005" w:leader="none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05" w:leader="none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05" w:leader="none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</w:tabs>
        <w:autoSpaceDE w:val="false"/>
        <w:ind w:left="415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567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ambria">
    <w:charset w:val="cc"/>
    <w:family w:val="roman"/>
    <w:pitch w:val="variable"/>
  </w:font>
  <w:font w:name="Century Gothic">
    <w:charset w:val="cc"/>
    <w:family w:val="swiss"/>
    <w:pitch w:val="variable"/>
  </w:font>
  <w:font w:name="Courier New">
    <w:charset w:val="cc"/>
    <w:family w:val="modern"/>
    <w:pitch w:val="fixed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zh-CN" w:val="ru-RU" w:bidi="ar-SA"/>
    </w:rPr>
  </w:style>
  <w:style w:type="paragraph" w:styleId="1">
    <w:name w:val="Heading 1"/>
    <w:basedOn w:val="Style21"/>
    <w:next w:val="Style22"/>
    <w:qFormat/>
    <w:pPr>
      <w:numPr>
        <w:ilvl w:val="0"/>
        <w:numId w:val="1"/>
      </w:numPr>
      <w:tabs>
        <w:tab w:val="clear" w:pos="720"/>
        <w:tab w:val="left" w:pos="0" w:leader="none"/>
      </w:tabs>
      <w:suppressAutoHyphens w:val="true"/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Style21"/>
    <w:next w:val="Style22"/>
    <w:qFormat/>
    <w:pPr>
      <w:numPr>
        <w:ilvl w:val="1"/>
        <w:numId w:val="1"/>
      </w:numPr>
      <w:tabs>
        <w:tab w:val="clear" w:pos="720"/>
        <w:tab w:val="left" w:pos="0" w:leader="none"/>
      </w:tabs>
      <w:suppressAutoHyphens w:val="true"/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Style21"/>
    <w:next w:val="Style22"/>
    <w:qFormat/>
    <w:pPr>
      <w:numPr>
        <w:ilvl w:val="2"/>
        <w:numId w:val="1"/>
      </w:numPr>
      <w:tabs>
        <w:tab w:val="clear" w:pos="720"/>
        <w:tab w:val="left" w:pos="0" w:leader="none"/>
      </w:tabs>
      <w:suppressAutoHyphens w:val="true"/>
      <w:ind w:left="720" w:hanging="720"/>
      <w:outlineLvl w:val="2"/>
    </w:pPr>
    <w:rPr>
      <w:b/>
      <w:bCs/>
    </w:rPr>
  </w:style>
  <w:style w:type="character" w:styleId="Style11">
    <w:name w:val="Основной шрифт абзаца"/>
    <w:qFormat/>
    <w:rPr/>
  </w:style>
  <w:style w:type="character" w:styleId="11">
    <w:name w:val="Заголовок 1 Знак"/>
    <w:basedOn w:val="Style11"/>
    <w:qFormat/>
    <w:rPr>
      <w:rFonts w:ascii="Arial" w:hAnsi="Arial" w:cs="Arial"/>
      <w:b/>
      <w:bCs/>
      <w:sz w:val="32"/>
      <w:szCs w:val="32"/>
      <w:lang w:eastAsia="zh-CN"/>
    </w:rPr>
  </w:style>
  <w:style w:type="character" w:styleId="21">
    <w:name w:val="Заголовок 2 Знак"/>
    <w:basedOn w:val="Style11"/>
    <w:qFormat/>
    <w:rPr>
      <w:rFonts w:ascii="Arial" w:hAnsi="Arial" w:cs="Arial"/>
      <w:b/>
      <w:bCs/>
      <w:i/>
      <w:iCs/>
      <w:sz w:val="28"/>
      <w:szCs w:val="28"/>
      <w:lang w:eastAsia="zh-CN"/>
    </w:rPr>
  </w:style>
  <w:style w:type="character" w:styleId="31">
    <w:name w:val="Заголовок 3 Знак"/>
    <w:basedOn w:val="Style11"/>
    <w:qFormat/>
    <w:rPr>
      <w:rFonts w:ascii="Arial" w:hAnsi="Arial" w:cs="Arial"/>
      <w:b/>
      <w:bCs/>
      <w:sz w:val="28"/>
      <w:szCs w:val="28"/>
      <w:lang w:eastAsia="zh-CN"/>
    </w:rPr>
  </w:style>
  <w:style w:type="character" w:styleId="Style12">
    <w:name w:val="Символ нумерации"/>
    <w:qFormat/>
    <w:rPr>
      <w:sz w:val="29"/>
      <w:szCs w:val="29"/>
    </w:rPr>
  </w:style>
  <w:style w:type="character" w:styleId="Style13">
    <w:name w:val="Интернет-ссылка"/>
    <w:rPr>
      <w:color w:val="000080"/>
      <w:u w:val="single"/>
    </w:rPr>
  </w:style>
  <w:style w:type="character" w:styleId="Style14">
    <w:name w:val="Маркеры списка"/>
    <w:qFormat/>
    <w:rPr>
      <w:rFonts w:ascii="OpenSymbol" w:hAnsi="OpenSymbol" w:eastAsia="Times New Roman" w:cs="OpenSymbol"/>
    </w:rPr>
  </w:style>
  <w:style w:type="character" w:styleId="Style15">
    <w:name w:val="Номер страницы"/>
    <w:basedOn w:val="Style11"/>
    <w:rPr/>
  </w:style>
  <w:style w:type="character" w:styleId="Style16">
    <w:name w:val="Основной текст Знак"/>
    <w:basedOn w:val="Style11"/>
    <w:qFormat/>
    <w:rPr>
      <w:rFonts w:cs="Calibri"/>
    </w:rPr>
  </w:style>
  <w:style w:type="character" w:styleId="Style17">
    <w:name w:val="Подзаголовок Знак"/>
    <w:basedOn w:val="Style11"/>
    <w:qFormat/>
    <w:rPr>
      <w:rFonts w:ascii="Cambria" w:hAnsi="Cambria" w:eastAsia="Times New Roman" w:cs="Times New Roman"/>
      <w:sz w:val="24"/>
      <w:szCs w:val="24"/>
    </w:rPr>
  </w:style>
  <w:style w:type="character" w:styleId="Style18">
    <w:name w:val="Название Знак"/>
    <w:basedOn w:val="Style11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9">
    <w:name w:val="Верхний колонтитул Знак"/>
    <w:basedOn w:val="Style11"/>
    <w:qFormat/>
    <w:rPr>
      <w:rFonts w:cs="Calibri"/>
    </w:rPr>
  </w:style>
  <w:style w:type="character" w:styleId="Style20">
    <w:name w:val="Гиперссылка"/>
    <w:basedOn w:val="Style11"/>
    <w:qFormat/>
    <w:rPr>
      <w:color w:val="0000FF"/>
      <w:u w:val="single"/>
    </w:rPr>
  </w:style>
  <w:style w:type="character" w:styleId="22">
    <w:name w:val="Колонтитул (2)_"/>
    <w:basedOn w:val="Style11"/>
    <w:qFormat/>
    <w:rPr>
      <w:rFonts w:ascii="Century Gothic" w:hAnsi="Century Gothic" w:cs="Century Gothic"/>
      <w:b/>
      <w:bCs/>
      <w:sz w:val="52"/>
      <w:szCs w:val="52"/>
      <w:highlight w:val="white"/>
    </w:rPr>
  </w:style>
  <w:style w:type="character" w:styleId="32">
    <w:name w:val="Основной текст (3)_"/>
    <w:basedOn w:val="Style11"/>
    <w:qFormat/>
    <w:rPr>
      <w:rFonts w:ascii="Arial" w:hAnsi="Arial" w:cs="Arial"/>
      <w:sz w:val="16"/>
      <w:szCs w:val="16"/>
      <w:highlight w:val="white"/>
    </w:rPr>
  </w:style>
  <w:style w:type="character" w:styleId="12">
    <w:name w:val="Основной текст Знак1"/>
    <w:basedOn w:val="Style11"/>
    <w:qFormat/>
    <w:rPr>
      <w:rFonts w:cs="Calibri"/>
    </w:rPr>
  </w:style>
  <w:style w:type="paragraph" w:styleId="Style21">
    <w:name w:val="Заголовок"/>
    <w:basedOn w:val="Normal"/>
    <w:next w:val="Style22"/>
    <w:qFormat/>
    <w:pPr>
      <w:keepNext w:val="true"/>
      <w:suppressAutoHyphens w:val="true"/>
      <w:spacing w:before="240" w:after="120"/>
    </w:pPr>
    <w:rPr>
      <w:sz w:val="28"/>
      <w:szCs w:val="28"/>
    </w:rPr>
  </w:style>
  <w:style w:type="paragraph" w:styleId="Style22">
    <w:name w:val="Body Text"/>
    <w:basedOn w:val="Style23"/>
    <w:pPr>
      <w:widowControl w:val="false"/>
      <w:shd w:fill="FFFFFF" w:val="clear"/>
      <w:suppressAutoHyphens w:val="false"/>
      <w:spacing w:lineRule="exact" w:line="277" w:before="0" w:after="120"/>
      <w:textAlignment w:val="auto"/>
    </w:pPr>
    <w:rPr/>
  </w:style>
  <w:style w:type="paragraph" w:styleId="Style23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cs="Calibri" w:ascii="Calibri" w:hAnsi="Calibri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ru-RU" w:bidi="ar-SA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5">
    <w:name w:val="Subtitle"/>
    <w:basedOn w:val="Style24"/>
    <w:next w:val="Style22"/>
    <w:qFormat/>
    <w:pPr>
      <w:suppressAutoHyphens w:val="true"/>
      <w:jc w:val="center"/>
    </w:pPr>
    <w:rPr/>
  </w:style>
  <w:style w:type="paragraph" w:styleId="Style26">
    <w:name w:val="List"/>
    <w:basedOn w:val="Style22"/>
    <w:pPr>
      <w:shd w:fill="FFFFFF" w:val="clear"/>
      <w:suppressAutoHyphens w:val="true"/>
    </w:pPr>
    <w:rPr/>
  </w:style>
  <w:style w:type="paragraph" w:styleId="Style27">
    <w:name w:val="Указатель"/>
    <w:basedOn w:val="Normal"/>
    <w:qFormat/>
    <w:pPr>
      <w:suppressLineNumbers/>
      <w:suppressAutoHyphens w:val="true"/>
    </w:pPr>
    <w:rPr/>
  </w:style>
  <w:style w:type="paragraph" w:styleId="13">
    <w:name w:val="Index 1"/>
    <w:basedOn w:val="Style23"/>
    <w:next w:val="Style23"/>
    <w:autoRedefine/>
    <w:pPr>
      <w:tabs>
        <w:tab w:val="clear" w:pos="720"/>
      </w:tabs>
      <w:suppressAutoHyphens w:val="true"/>
      <w:ind w:left="220" w:hanging="220"/>
    </w:pPr>
    <w:rPr/>
  </w:style>
  <w:style w:type="paragraph" w:styleId="ConsPlusTitle">
    <w:name w:val="ConsPlusTitle"/>
    <w:basedOn w:val="Normal"/>
    <w:next w:val="ConsPlusNormal"/>
    <w:qFormat/>
    <w:pPr>
      <w:suppressAutoHyphens w:val="true"/>
      <w:autoSpaceDE w:val="false"/>
    </w:pPr>
    <w:rPr>
      <w:b/>
      <w:bCs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zh-CN" w:val="ru-RU" w:bidi="ar-SA"/>
    </w:rPr>
  </w:style>
  <w:style w:type="paragraph" w:styleId="ConsPlusDocList">
    <w:name w:val="ConsPlusDocList"/>
    <w:next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cs="Courier New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zh-CN" w:val="ru-RU" w:bidi="ar-SA"/>
    </w:rPr>
  </w:style>
  <w:style w:type="paragraph" w:styleId="ConsPlusCell">
    <w:name w:val="ConsPlusCell"/>
    <w:next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cs="Courier New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zh-CN" w:val="ru-RU" w:bidi="ar-SA"/>
    </w:rPr>
  </w:style>
  <w:style w:type="paragraph" w:styleId="ConsPlusNonformat">
    <w:name w:val="ConsPlusNonformat"/>
    <w:next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cs="Courier New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zh-CN" w:val="ru-RU" w:bidi="ar-SA"/>
    </w:rPr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9">
    <w:name w:val="Заголовок таблицы"/>
    <w:basedOn w:val="Style28"/>
    <w:qFormat/>
    <w:pPr>
      <w:suppressAutoHyphens w:val="true"/>
      <w:jc w:val="center"/>
    </w:pPr>
    <w:rPr>
      <w:b/>
      <w:bCs/>
    </w:rPr>
  </w:style>
  <w:style w:type="paragraph" w:styleId="Style30">
    <w:name w:val="Header"/>
    <w:basedOn w:val="Normal"/>
    <w:pPr>
      <w:suppressLineNumbers/>
      <w:tabs>
        <w:tab w:val="clear" w:pos="720"/>
        <w:tab w:val="center" w:pos="4961" w:leader="none"/>
        <w:tab w:val="right" w:pos="9922" w:leader="none"/>
      </w:tabs>
      <w:suppressAutoHyphens w:val="true"/>
    </w:pPr>
    <w:rPr/>
  </w:style>
  <w:style w:type="paragraph" w:styleId="ConsPlusNormal1">
    <w:name w:val="ConsPlus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zh-CN" w:val="ru-RU" w:bidi="ar-SA"/>
    </w:rPr>
  </w:style>
  <w:style w:type="paragraph" w:styleId="ConsPlusTitle1">
    <w:name w:val="ConsPlusTitle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cs="Arial" w:eastAsia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zh-CN" w:val="ru-RU" w:bidi="ar-SA"/>
    </w:rPr>
  </w:style>
  <w:style w:type="paragraph" w:styleId="Style31">
    <w:name w:val="Блочная цитата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ConsPlusTitlePage">
    <w:name w:val="ConsPlusTitlePag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ahoma" w:hAnsi="Tahoma" w:cs="Tahoma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zh-CN" w:val="ru-RU" w:bidi="ar-SA"/>
    </w:rPr>
  </w:style>
  <w:style w:type="paragraph" w:styleId="ConsPlusJurTerm">
    <w:name w:val="ConsPlusJurTerm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ahoma" w:hAnsi="Tahoma" w:cs="Tahoma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6"/>
      <w:u w:val="none"/>
      <w:vertAlign w:val="baseline"/>
      <w:em w:val="none"/>
      <w:lang w:eastAsia="zh-CN" w:val="ru-RU" w:bidi="ar-SA"/>
    </w:rPr>
  </w:style>
  <w:style w:type="paragraph" w:styleId="ConsPlusNormal2">
    <w:name w:val="ConsPlusNormal2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ru-RU" w:eastAsia="ru-RU" w:bidi="ar-SA"/>
    </w:rPr>
  </w:style>
  <w:style w:type="paragraph" w:styleId="ConsPlusNonformat1">
    <w:name w:val="ConsPlusNonformat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ru-RU" w:eastAsia="ru-RU" w:bidi="ar-SA"/>
    </w:rPr>
  </w:style>
  <w:style w:type="paragraph" w:styleId="ConsPlusTitle2">
    <w:name w:val="ConsPlusTitle2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Courier New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ru-RU" w:eastAsia="ru-RU" w:bidi="ar-SA"/>
    </w:rPr>
  </w:style>
  <w:style w:type="paragraph" w:styleId="ConsPlusCell1">
    <w:name w:val="ConsPlusCell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ru-RU" w:eastAsia="ru-RU" w:bidi="ar-SA"/>
    </w:rPr>
  </w:style>
  <w:style w:type="paragraph" w:styleId="ConsPlusDocList1">
    <w:name w:val="ConsPlusDocList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ru-RU" w:eastAsia="ru-RU" w:bidi="ar-SA"/>
    </w:rPr>
  </w:style>
  <w:style w:type="paragraph" w:styleId="ConsPlusTitlePage1">
    <w:name w:val="ConsPlusTitlePage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ahoma" w:hAnsi="Tahoma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ru-RU" w:eastAsia="ru-RU" w:bidi="ar-SA"/>
    </w:rPr>
  </w:style>
  <w:style w:type="paragraph" w:styleId="ConsPlusJurTerm1">
    <w:name w:val="ConsPlusJurTerm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ahoma" w:hAnsi="Tahoma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4"/>
      <w:u w:val="none"/>
      <w:vertAlign w:val="baseline"/>
      <w:em w:val="none"/>
      <w:lang w:val="ru-RU" w:eastAsia="ru-RU" w:bidi="ar-SA"/>
    </w:rPr>
  </w:style>
  <w:style w:type="paragraph" w:styleId="33">
    <w:name w:val="Основной текст (3)"/>
    <w:basedOn w:val="Style23"/>
    <w:qFormat/>
    <w:pPr>
      <w:widowControl w:val="false"/>
      <w:shd w:fill="FFFFFF" w:val="clear"/>
      <w:suppressAutoHyphens w:val="false"/>
      <w:spacing w:lineRule="exact" w:line="277"/>
      <w:textAlignment w:val="auto"/>
    </w:pPr>
    <w:rPr>
      <w:rFonts w:ascii="Arial" w:hAnsi="Arial" w:cs="Arial"/>
      <w:sz w:val="16"/>
      <w:szCs w:val="16"/>
    </w:rPr>
  </w:style>
  <w:style w:type="paragraph" w:styleId="211">
    <w:name w:val="Колонтитул (2)1"/>
    <w:basedOn w:val="Style23"/>
    <w:qFormat/>
    <w:pPr>
      <w:widowControl w:val="false"/>
      <w:shd w:fill="FFFFFF" w:val="clear"/>
      <w:suppressAutoHyphens w:val="false"/>
      <w:spacing w:lineRule="atLeast" w:line="240"/>
      <w:textAlignment w:val="auto"/>
    </w:pPr>
    <w:rPr>
      <w:rFonts w:ascii="Century Gothic" w:hAnsi="Century Gothic" w:cs="Century Gothic"/>
      <w:b/>
      <w:bCs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 LibreOffice_project/9d0f32d1f0b509096fd65e0d4bec26ddd1938fd3</Application>
  <Pages>3</Pages>
  <Words>1156</Words>
  <CharactersWithSpaces>7733</CharactersWithSpaces>
  <Paragraphs>15</Paragraphs>
  <Company>КонсультантПлюс Версия 4012.00.89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2015-10-14T12:01:00Z</dcterms:created>
  <dc:creator>ConsultantPlus</dc:creator>
  <dc:description/>
  <dc:language>ru-RU</dc:language>
  <cp:lastModifiedBy>URIST</cp:lastModifiedBy>
  <cp:lastPrinted>2021-02-03T15:37:00Z</cp:lastPrinted>
  <dcterms:modified xsi:type="dcterms:W3CDTF">2021-03-23T04:58:00Z</dcterms:modified>
  <cp:revision>1</cp:revision>
  <dc:subject/>
  <dc:title>Закон Курганской области от 05.11.2013 N 70(ред. от 01.04.2015)"Об отдельных положениях осуществления контроля за соответствием расходов лиц, замещающих государственные должности Курганской области, и иных лиц их доходам"(Принят Постановлением Курганской областной Думы от 29.10.2013 N 515)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